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A1352" w14:textId="6E71A158" w:rsidR="002964D6" w:rsidRDefault="002964D6" w:rsidP="00E636E2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723F46F" w14:textId="77777777" w:rsidR="002964D6" w:rsidRDefault="002964D6" w:rsidP="00E636E2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6283B04B" w14:textId="6966ECE8" w:rsidR="002D46BD" w:rsidRDefault="00FA176A" w:rsidP="00A93C1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FA176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Opremanje Vile Iren</w:t>
      </w:r>
      <w:r w:rsidR="0024119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a</w:t>
      </w:r>
    </w:p>
    <w:p w14:paraId="3F9863D1" w14:textId="77777777" w:rsidR="00A93C1D" w:rsidRDefault="00A93C1D" w:rsidP="00A93C1D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46BB559" w14:textId="00C61299" w:rsidR="00A93C1D" w:rsidRDefault="00A93C1D" w:rsidP="00A93C1D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F53D3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Evidencijski broj nabave: </w:t>
      </w:r>
      <w:r w:rsidR="00241195" w:rsidRPr="0024119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E-MV 31/25</w:t>
      </w:r>
    </w:p>
    <w:p w14:paraId="079194D0" w14:textId="77777777" w:rsidR="00EB523F" w:rsidRPr="00F53D35" w:rsidRDefault="00EB523F" w:rsidP="00A93C1D">
      <w:pPr>
        <w:spacing w:after="0" w:line="240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689B2825" w14:textId="77777777" w:rsidR="002D46BD" w:rsidRPr="0024558C" w:rsidRDefault="002D46BD" w:rsidP="00E636E2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</w:p>
    <w:p w14:paraId="5B62EEC0" w14:textId="1175ABA7" w:rsidR="0024558C" w:rsidRPr="0024558C" w:rsidRDefault="0024558C" w:rsidP="0024558C">
      <w:pPr>
        <w:widowControl w:val="0"/>
        <w:tabs>
          <w:tab w:val="left" w:pos="579"/>
        </w:tabs>
        <w:autoSpaceDE w:val="0"/>
        <w:autoSpaceDN w:val="0"/>
        <w:spacing w:after="0" w:line="240" w:lineRule="auto"/>
        <w:rPr>
          <w:rFonts w:ascii="Times New Roman" w:eastAsia="Tinos" w:hAnsi="Tinos" w:cs="Tinos"/>
          <w:b/>
          <w:kern w:val="0"/>
          <w:sz w:val="24"/>
          <w14:ligatures w14:val="none"/>
        </w:rPr>
      </w:pPr>
      <w:r>
        <w:rPr>
          <w:rFonts w:ascii="Times New Roman" w:eastAsia="Tinos" w:hAnsi="Tinos" w:cs="Tinos"/>
          <w:b/>
          <w:kern w:val="0"/>
          <w:sz w:val="24"/>
          <w14:ligatures w14:val="none"/>
        </w:rPr>
        <w:t xml:space="preserve">   </w:t>
      </w:r>
      <w:r w:rsidRPr="0024558C">
        <w:rPr>
          <w:rFonts w:ascii="Times New Roman" w:eastAsia="Tinos" w:hAnsi="Tinos" w:cs="Tinos"/>
          <w:b/>
          <w:kern w:val="0"/>
          <w:sz w:val="24"/>
          <w14:ligatures w14:val="none"/>
        </w:rPr>
        <w:t>Kriterij za odabir ponude</w:t>
      </w:r>
      <w:r>
        <w:rPr>
          <w:rFonts w:ascii="Times New Roman" w:eastAsia="Tinos" w:hAnsi="Tinos" w:cs="Tinos"/>
          <w:b/>
          <w:kern w:val="0"/>
          <w:sz w:val="24"/>
          <w14:ligatures w14:val="none"/>
        </w:rPr>
        <w:t>:</w:t>
      </w:r>
    </w:p>
    <w:p w14:paraId="7D6E28D8" w14:textId="77777777" w:rsidR="0024558C" w:rsidRPr="0024558C" w:rsidRDefault="0024558C" w:rsidP="0024558C">
      <w:pPr>
        <w:widowControl w:val="0"/>
        <w:autoSpaceDE w:val="0"/>
        <w:autoSpaceDN w:val="0"/>
        <w:spacing w:before="8" w:after="0" w:line="240" w:lineRule="auto"/>
        <w:rPr>
          <w:rFonts w:ascii="Times New Roman" w:eastAsia="Tinos" w:hAnsi="Tinos" w:cs="Tinos"/>
          <w:b/>
          <w:kern w:val="0"/>
          <w:sz w:val="20"/>
          <w:szCs w:val="24"/>
          <w14:ligatures w14:val="none"/>
        </w:rPr>
      </w:pPr>
    </w:p>
    <w:p w14:paraId="0621D24B" w14:textId="77777777" w:rsidR="0024558C" w:rsidRPr="0024558C" w:rsidRDefault="0024558C" w:rsidP="0024558C">
      <w:pPr>
        <w:widowControl w:val="0"/>
        <w:autoSpaceDE w:val="0"/>
        <w:autoSpaceDN w:val="0"/>
        <w:spacing w:after="7" w:line="412" w:lineRule="auto"/>
        <w:ind w:left="218" w:right="1807"/>
        <w:rPr>
          <w:rFonts w:ascii="Tinos" w:eastAsia="Tinos" w:hAnsi="Tinos" w:cs="Tinos"/>
          <w:kern w:val="0"/>
          <w:sz w:val="24"/>
          <w14:ligatures w14:val="none"/>
        </w:rPr>
      </w:pPr>
      <w:r w:rsidRPr="0024558C">
        <w:rPr>
          <w:rFonts w:ascii="Tinos" w:eastAsia="Tinos" w:hAnsi="Tinos" w:cs="Tinos"/>
          <w:kern w:val="0"/>
          <w:sz w:val="24"/>
          <w14:ligatures w14:val="none"/>
        </w:rPr>
        <w:t xml:space="preserve">Kriterij odabira ponude je </w:t>
      </w:r>
      <w:r w:rsidRPr="0024558C">
        <w:rPr>
          <w:rFonts w:ascii="Times New Roman" w:eastAsia="Tinos" w:hAnsi="Times New Roman" w:cs="Tinos"/>
          <w:b/>
          <w:kern w:val="0"/>
          <w:sz w:val="24"/>
          <w14:ligatures w14:val="none"/>
        </w:rPr>
        <w:t>ekonomski najpovoljnija ponuda (ENP)</w:t>
      </w:r>
      <w:r w:rsidRPr="0024558C">
        <w:rPr>
          <w:rFonts w:ascii="Tinos" w:eastAsia="Tinos" w:hAnsi="Tinos" w:cs="Tinos"/>
          <w:kern w:val="0"/>
          <w:sz w:val="24"/>
          <w14:ligatures w14:val="none"/>
        </w:rPr>
        <w:t>. Kriteriji za odabir ekonomski najpovoljnije ponude i njihov relativan značaj: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2"/>
        <w:gridCol w:w="5236"/>
        <w:gridCol w:w="2270"/>
      </w:tblGrid>
      <w:tr w:rsidR="0024558C" w:rsidRPr="0024558C" w14:paraId="09B85109" w14:textId="77777777" w:rsidTr="008A0419">
        <w:trPr>
          <w:trHeight w:val="707"/>
        </w:trPr>
        <w:tc>
          <w:tcPr>
            <w:tcW w:w="1082" w:type="dxa"/>
            <w:shd w:val="clear" w:color="auto" w:fill="B8CCE4"/>
          </w:tcPr>
          <w:p w14:paraId="5A8D4968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after="0" w:line="242" w:lineRule="auto"/>
              <w:ind w:left="107" w:right="419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Redni broj</w:t>
            </w:r>
          </w:p>
        </w:tc>
        <w:tc>
          <w:tcPr>
            <w:tcW w:w="5236" w:type="dxa"/>
            <w:shd w:val="clear" w:color="auto" w:fill="B8CCE4"/>
          </w:tcPr>
          <w:p w14:paraId="79460387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before="121" w:after="0" w:line="240" w:lineRule="auto"/>
              <w:ind w:left="108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Kriterij</w:t>
            </w:r>
          </w:p>
        </w:tc>
        <w:tc>
          <w:tcPr>
            <w:tcW w:w="2270" w:type="dxa"/>
            <w:shd w:val="clear" w:color="auto" w:fill="B8CCE4"/>
          </w:tcPr>
          <w:p w14:paraId="0E024FB3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before="121" w:after="0" w:line="240" w:lineRule="auto"/>
              <w:ind w:left="108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Broj bodova</w:t>
            </w:r>
          </w:p>
        </w:tc>
      </w:tr>
      <w:tr w:rsidR="0024558C" w:rsidRPr="0024558C" w14:paraId="58C931C0" w14:textId="77777777" w:rsidTr="008A0419">
        <w:trPr>
          <w:trHeight w:val="450"/>
        </w:trPr>
        <w:tc>
          <w:tcPr>
            <w:tcW w:w="1082" w:type="dxa"/>
          </w:tcPr>
          <w:p w14:paraId="7F0972EC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1.</w:t>
            </w:r>
          </w:p>
        </w:tc>
        <w:tc>
          <w:tcPr>
            <w:tcW w:w="5236" w:type="dxa"/>
          </w:tcPr>
          <w:p w14:paraId="288AD1D4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after="0" w:line="247" w:lineRule="exact"/>
              <w:ind w:left="107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Cijena ponude</w:t>
            </w:r>
          </w:p>
        </w:tc>
        <w:tc>
          <w:tcPr>
            <w:tcW w:w="2270" w:type="dxa"/>
          </w:tcPr>
          <w:p w14:paraId="70A082DC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after="0" w:line="247" w:lineRule="exact"/>
              <w:ind w:left="108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mes New Roman" w:eastAsia="Tinos" w:hAnsi="Tinos" w:cs="Tinos"/>
                <w:b/>
                <w:kern w:val="0"/>
                <w14:ligatures w14:val="none"/>
              </w:rPr>
              <w:t xml:space="preserve">90 </w:t>
            </w: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bodova</w:t>
            </w:r>
          </w:p>
        </w:tc>
      </w:tr>
      <w:tr w:rsidR="0024558C" w:rsidRPr="0024558C" w14:paraId="49358675" w14:textId="77777777" w:rsidTr="008A0419">
        <w:trPr>
          <w:trHeight w:val="453"/>
        </w:trPr>
        <w:tc>
          <w:tcPr>
            <w:tcW w:w="1082" w:type="dxa"/>
          </w:tcPr>
          <w:p w14:paraId="39866818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after="0" w:line="249" w:lineRule="exact"/>
              <w:ind w:left="107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2.</w:t>
            </w:r>
          </w:p>
        </w:tc>
        <w:tc>
          <w:tcPr>
            <w:tcW w:w="5236" w:type="dxa"/>
          </w:tcPr>
          <w:p w14:paraId="74543649" w14:textId="29EFC821" w:rsidR="0024558C" w:rsidRPr="0024558C" w:rsidRDefault="00B27794" w:rsidP="0024558C">
            <w:pPr>
              <w:widowControl w:val="0"/>
              <w:autoSpaceDE w:val="0"/>
              <w:autoSpaceDN w:val="0"/>
              <w:spacing w:after="0" w:line="249" w:lineRule="exact"/>
              <w:ind w:left="107"/>
              <w:rPr>
                <w:rFonts w:ascii="Tinos" w:eastAsia="Tinos" w:hAnsi="Tinos" w:cs="Tinos"/>
                <w:kern w:val="0"/>
                <w14:ligatures w14:val="none"/>
              </w:rPr>
            </w:pPr>
            <w:r w:rsidRPr="00B27794">
              <w:rPr>
                <w:rFonts w:ascii="Tinos" w:eastAsia="Tinos" w:hAnsi="Tinos" w:cs="Tinos"/>
                <w:kern w:val="0"/>
                <w14:ligatures w14:val="none"/>
              </w:rPr>
              <w:t>Trajanje jamstvenog roka</w:t>
            </w:r>
          </w:p>
        </w:tc>
        <w:tc>
          <w:tcPr>
            <w:tcW w:w="2270" w:type="dxa"/>
          </w:tcPr>
          <w:p w14:paraId="5DB378FE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after="0" w:line="249" w:lineRule="exact"/>
              <w:ind w:left="108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mes New Roman" w:eastAsia="Tinos" w:hAnsi="Tinos" w:cs="Tinos"/>
                <w:b/>
                <w:kern w:val="0"/>
                <w14:ligatures w14:val="none"/>
              </w:rPr>
              <w:t xml:space="preserve">10 </w:t>
            </w: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bodova</w:t>
            </w:r>
          </w:p>
        </w:tc>
      </w:tr>
      <w:tr w:rsidR="0024558C" w:rsidRPr="0024558C" w14:paraId="76EDFEEC" w14:textId="77777777" w:rsidTr="008A0419">
        <w:trPr>
          <w:trHeight w:val="453"/>
        </w:trPr>
        <w:tc>
          <w:tcPr>
            <w:tcW w:w="1082" w:type="dxa"/>
          </w:tcPr>
          <w:p w14:paraId="25741CB5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nos" w:hAnsi="Tinos" w:cs="Tinos"/>
                <w:kern w:val="0"/>
                <w14:ligatures w14:val="none"/>
              </w:rPr>
            </w:pPr>
          </w:p>
        </w:tc>
        <w:tc>
          <w:tcPr>
            <w:tcW w:w="5236" w:type="dxa"/>
          </w:tcPr>
          <w:p w14:paraId="727E1C4D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before="1" w:after="0" w:line="240" w:lineRule="auto"/>
              <w:ind w:left="108"/>
              <w:rPr>
                <w:rFonts w:ascii="Times New Roman" w:eastAsia="Tinos" w:hAnsi="Tinos" w:cs="Tinos"/>
                <w:b/>
                <w:kern w:val="0"/>
                <w14:ligatures w14:val="none"/>
              </w:rPr>
            </w:pPr>
            <w:r w:rsidRPr="0024558C">
              <w:rPr>
                <w:rFonts w:ascii="Times New Roman" w:eastAsia="Tinos" w:hAnsi="Tinos" w:cs="Tinos"/>
                <w:b/>
                <w:kern w:val="0"/>
                <w14:ligatures w14:val="none"/>
              </w:rPr>
              <w:t>Maksimalni broj bodova</w:t>
            </w:r>
          </w:p>
        </w:tc>
        <w:tc>
          <w:tcPr>
            <w:tcW w:w="2270" w:type="dxa"/>
          </w:tcPr>
          <w:p w14:paraId="6B1099ED" w14:textId="77777777" w:rsidR="0024558C" w:rsidRPr="0024558C" w:rsidRDefault="0024558C" w:rsidP="0024558C">
            <w:pPr>
              <w:widowControl w:val="0"/>
              <w:autoSpaceDE w:val="0"/>
              <w:autoSpaceDN w:val="0"/>
              <w:spacing w:after="0" w:line="249" w:lineRule="exact"/>
              <w:ind w:left="108"/>
              <w:rPr>
                <w:rFonts w:ascii="Tinos" w:eastAsia="Tinos" w:hAnsi="Tinos" w:cs="Tinos"/>
                <w:kern w:val="0"/>
                <w14:ligatures w14:val="none"/>
              </w:rPr>
            </w:pPr>
            <w:r w:rsidRPr="0024558C">
              <w:rPr>
                <w:rFonts w:ascii="Times New Roman" w:eastAsia="Tinos" w:hAnsi="Tinos" w:cs="Tinos"/>
                <w:b/>
                <w:kern w:val="0"/>
                <w14:ligatures w14:val="none"/>
              </w:rPr>
              <w:t xml:space="preserve">100 </w:t>
            </w:r>
            <w:r w:rsidRPr="0024558C">
              <w:rPr>
                <w:rFonts w:ascii="Tinos" w:eastAsia="Tinos" w:hAnsi="Tinos" w:cs="Tinos"/>
                <w:kern w:val="0"/>
                <w14:ligatures w14:val="none"/>
              </w:rPr>
              <w:t>bodova</w:t>
            </w:r>
          </w:p>
        </w:tc>
      </w:tr>
    </w:tbl>
    <w:p w14:paraId="23599E3F" w14:textId="77777777" w:rsidR="0024558C" w:rsidRPr="0024558C" w:rsidRDefault="0024558C" w:rsidP="0024558C">
      <w:pPr>
        <w:widowControl w:val="0"/>
        <w:autoSpaceDE w:val="0"/>
        <w:autoSpaceDN w:val="0"/>
        <w:spacing w:before="9" w:after="0" w:line="240" w:lineRule="auto"/>
        <w:rPr>
          <w:rFonts w:ascii="Tinos" w:eastAsia="Tinos" w:hAnsi="Tinos" w:cs="Tinos"/>
          <w:kern w:val="0"/>
          <w:szCs w:val="24"/>
          <w14:ligatures w14:val="none"/>
        </w:rPr>
      </w:pPr>
    </w:p>
    <w:p w14:paraId="401889C3" w14:textId="77777777" w:rsidR="0024558C" w:rsidRPr="0024558C" w:rsidRDefault="0024558C" w:rsidP="0024558C">
      <w:pPr>
        <w:widowControl w:val="0"/>
        <w:autoSpaceDE w:val="0"/>
        <w:autoSpaceDN w:val="0"/>
        <w:spacing w:after="0" w:line="240" w:lineRule="auto"/>
        <w:ind w:left="218" w:right="441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Ukupni broj bodova pojedinog ponuditelja naručitelj će dobiti zbrajanjem bodova dobivenih prema navedenim kriterijima:</w:t>
      </w:r>
    </w:p>
    <w:p w14:paraId="0869E47F" w14:textId="77777777" w:rsidR="0024558C" w:rsidRPr="0024558C" w:rsidRDefault="0024558C" w:rsidP="0024558C">
      <w:pPr>
        <w:widowControl w:val="0"/>
        <w:autoSpaceDE w:val="0"/>
        <w:autoSpaceDN w:val="0"/>
        <w:spacing w:before="200" w:after="0" w:line="240" w:lineRule="auto"/>
        <w:ind w:left="218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UB=CP+JR</w:t>
      </w:r>
    </w:p>
    <w:p w14:paraId="0AAA519F" w14:textId="77777777" w:rsidR="0024558C" w:rsidRDefault="0024558C" w:rsidP="0024558C">
      <w:pPr>
        <w:widowControl w:val="0"/>
        <w:autoSpaceDE w:val="0"/>
        <w:autoSpaceDN w:val="0"/>
        <w:spacing w:after="0" w:line="240" w:lineRule="auto"/>
        <w:rPr>
          <w:rFonts w:ascii="Tinos" w:eastAsia="Tinos" w:hAnsi="Tinos" w:cs="Tinos"/>
          <w:kern w:val="0"/>
          <w14:ligatures w14:val="none"/>
        </w:rPr>
      </w:pPr>
    </w:p>
    <w:p w14:paraId="4309FAFB" w14:textId="77777777" w:rsidR="0024558C" w:rsidRPr="0024558C" w:rsidRDefault="0024558C" w:rsidP="0024558C">
      <w:pPr>
        <w:widowControl w:val="0"/>
        <w:autoSpaceDE w:val="0"/>
        <w:autoSpaceDN w:val="0"/>
        <w:spacing w:before="82" w:after="0" w:line="240" w:lineRule="auto"/>
        <w:ind w:left="218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pri čemu je:</w:t>
      </w:r>
    </w:p>
    <w:p w14:paraId="70EE4E31" w14:textId="77777777" w:rsidR="0024558C" w:rsidRPr="0024558C" w:rsidRDefault="0024558C" w:rsidP="0024558C">
      <w:pPr>
        <w:widowControl w:val="0"/>
        <w:autoSpaceDE w:val="0"/>
        <w:autoSpaceDN w:val="0"/>
        <w:spacing w:before="201" w:after="0" w:line="240" w:lineRule="auto"/>
        <w:ind w:left="218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UB – ukupan broj bodova</w:t>
      </w:r>
    </w:p>
    <w:p w14:paraId="013A93EF" w14:textId="77777777" w:rsidR="0024558C" w:rsidRPr="0024558C" w:rsidRDefault="0024558C" w:rsidP="0024558C">
      <w:pPr>
        <w:widowControl w:val="0"/>
        <w:autoSpaceDE w:val="0"/>
        <w:autoSpaceDN w:val="0"/>
        <w:spacing w:before="201" w:after="0" w:line="240" w:lineRule="auto"/>
        <w:ind w:left="218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CP – broj bodova ostvaren za ponuđenu cijenu</w:t>
      </w:r>
    </w:p>
    <w:p w14:paraId="3F49DB1E" w14:textId="6B1BA709" w:rsidR="0024558C" w:rsidRPr="0024558C" w:rsidRDefault="0024558C" w:rsidP="0024558C">
      <w:pPr>
        <w:widowControl w:val="0"/>
        <w:autoSpaceDE w:val="0"/>
        <w:autoSpaceDN w:val="0"/>
        <w:spacing w:before="200" w:after="0" w:line="240" w:lineRule="auto"/>
        <w:ind w:left="218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JR – broj bodova ostvaren za ponuđen</w:t>
      </w:r>
      <w:r w:rsidR="00B34C47">
        <w:rPr>
          <w:rFonts w:ascii="Tinos" w:eastAsia="Tinos" w:hAnsi="Tinos" w:cs="Tinos"/>
          <w:kern w:val="0"/>
          <w14:ligatures w14:val="none"/>
        </w:rPr>
        <w:t>o trajanje</w:t>
      </w:r>
      <w:r w:rsidRPr="0024558C">
        <w:rPr>
          <w:rFonts w:ascii="Tinos" w:eastAsia="Tinos" w:hAnsi="Tinos" w:cs="Tinos"/>
          <w:kern w:val="0"/>
          <w14:ligatures w14:val="none"/>
        </w:rPr>
        <w:t xml:space="preserve"> jamstven</w:t>
      </w:r>
      <w:r w:rsidR="00B34C47">
        <w:rPr>
          <w:rFonts w:ascii="Tinos" w:eastAsia="Tinos" w:hAnsi="Tinos" w:cs="Tinos"/>
          <w:kern w:val="0"/>
          <w14:ligatures w14:val="none"/>
        </w:rPr>
        <w:t xml:space="preserve">og </w:t>
      </w:r>
      <w:r w:rsidRPr="0024558C">
        <w:rPr>
          <w:rFonts w:ascii="Tinos" w:eastAsia="Tinos" w:hAnsi="Tinos" w:cs="Tinos"/>
          <w:kern w:val="0"/>
          <w14:ligatures w14:val="none"/>
        </w:rPr>
        <w:t>rok</w:t>
      </w:r>
      <w:r w:rsidR="00B34C47">
        <w:rPr>
          <w:rFonts w:ascii="Tinos" w:eastAsia="Tinos" w:hAnsi="Tinos" w:cs="Tinos"/>
          <w:kern w:val="0"/>
          <w14:ligatures w14:val="none"/>
        </w:rPr>
        <w:t>a</w:t>
      </w:r>
    </w:p>
    <w:p w14:paraId="687162F5" w14:textId="381DAD39" w:rsidR="0024558C" w:rsidRPr="0024558C" w:rsidRDefault="0024558C" w:rsidP="0024558C">
      <w:pPr>
        <w:widowControl w:val="0"/>
        <w:autoSpaceDE w:val="0"/>
        <w:autoSpaceDN w:val="0"/>
        <w:spacing w:before="198" w:after="0" w:line="240" w:lineRule="auto"/>
        <w:ind w:left="218" w:right="451"/>
        <w:jc w:val="both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Ekonomski najpovoljnija ponuda je valjana ponuda s najvećim ukupnim brojem bodova (UB). Ako su dvije ili više valjanih ponuda jednako rangirane prema kriteriju za odabir ponude, naručitelj će odabrati ponudu koja je zaprimljena</w:t>
      </w:r>
      <w:r w:rsidRPr="0024558C">
        <w:rPr>
          <w:rFonts w:ascii="Tinos" w:eastAsia="Tinos" w:hAnsi="Tinos" w:cs="Tinos"/>
          <w:spacing w:val="-2"/>
          <w:kern w:val="0"/>
          <w14:ligatures w14:val="none"/>
        </w:rPr>
        <w:t xml:space="preserve"> </w:t>
      </w:r>
      <w:r w:rsidRPr="0024558C">
        <w:rPr>
          <w:rFonts w:ascii="Tinos" w:eastAsia="Tinos" w:hAnsi="Tinos" w:cs="Tinos"/>
          <w:kern w:val="0"/>
          <w14:ligatures w14:val="none"/>
        </w:rPr>
        <w:t>ranije.</w:t>
      </w:r>
    </w:p>
    <w:p w14:paraId="60EE49F0" w14:textId="77777777" w:rsidR="0024558C" w:rsidRPr="0024558C" w:rsidRDefault="0024558C" w:rsidP="0024558C">
      <w:pPr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06" w:after="0" w:line="240" w:lineRule="auto"/>
        <w:ind w:hanging="361"/>
        <w:rPr>
          <w:rFonts w:ascii="Times New Roman" w:eastAsia="Tinos" w:hAnsi="Tinos" w:cs="Tinos"/>
          <w:b/>
          <w:kern w:val="0"/>
          <w14:ligatures w14:val="none"/>
        </w:rPr>
      </w:pPr>
      <w:r w:rsidRPr="0024558C">
        <w:rPr>
          <w:rFonts w:ascii="Times New Roman" w:eastAsia="Tinos" w:hAnsi="Tinos" w:cs="Tinos"/>
          <w:b/>
          <w:kern w:val="0"/>
          <w14:ligatures w14:val="none"/>
        </w:rPr>
        <w:t>Cijena ponude (maksimum 90</w:t>
      </w:r>
      <w:r w:rsidRPr="0024558C">
        <w:rPr>
          <w:rFonts w:ascii="Times New Roman" w:eastAsia="Tinos" w:hAnsi="Tinos" w:cs="Tinos"/>
          <w:b/>
          <w:spacing w:val="1"/>
          <w:kern w:val="0"/>
          <w14:ligatures w14:val="none"/>
        </w:rPr>
        <w:t xml:space="preserve"> </w:t>
      </w:r>
      <w:r w:rsidRPr="0024558C">
        <w:rPr>
          <w:rFonts w:ascii="Times New Roman" w:eastAsia="Tinos" w:hAnsi="Tinos" w:cs="Tinos"/>
          <w:b/>
          <w:kern w:val="0"/>
          <w14:ligatures w14:val="none"/>
        </w:rPr>
        <w:t>bodova)</w:t>
      </w:r>
    </w:p>
    <w:p w14:paraId="30975C79" w14:textId="77777777" w:rsidR="0024558C" w:rsidRPr="0024558C" w:rsidRDefault="0024558C" w:rsidP="0024558C">
      <w:pPr>
        <w:widowControl w:val="0"/>
        <w:autoSpaceDE w:val="0"/>
        <w:autoSpaceDN w:val="0"/>
        <w:spacing w:before="196" w:after="0" w:line="240" w:lineRule="auto"/>
        <w:ind w:left="218" w:right="454"/>
        <w:jc w:val="both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Ponuda s najniže ponuđenom cijenom dobiva 90 bodova, a ostale ponude se boduju prema formuli:</w:t>
      </w:r>
    </w:p>
    <w:p w14:paraId="39C35118" w14:textId="77777777" w:rsidR="0024558C" w:rsidRPr="0024558C" w:rsidRDefault="0024558C" w:rsidP="0024558C">
      <w:pPr>
        <w:widowControl w:val="0"/>
        <w:autoSpaceDE w:val="0"/>
        <w:autoSpaceDN w:val="0"/>
        <w:spacing w:before="5" w:after="0" w:line="240" w:lineRule="auto"/>
        <w:rPr>
          <w:rFonts w:ascii="Tinos" w:eastAsia="Tinos" w:hAnsi="Tinos" w:cs="Tinos"/>
          <w:kern w:val="0"/>
          <w:sz w:val="9"/>
          <w:szCs w:val="24"/>
          <w14:ligatures w14:val="none"/>
        </w:rPr>
      </w:pPr>
    </w:p>
    <w:p w14:paraId="150AD5F8" w14:textId="77777777" w:rsidR="0024558C" w:rsidRPr="0024558C" w:rsidRDefault="0024558C" w:rsidP="0024558C">
      <w:pPr>
        <w:widowControl w:val="0"/>
        <w:autoSpaceDE w:val="0"/>
        <w:autoSpaceDN w:val="0"/>
        <w:spacing w:before="91" w:after="0" w:line="240" w:lineRule="auto"/>
        <w:ind w:left="2693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CP = (Ymin/Yp) x 90</w:t>
      </w:r>
    </w:p>
    <w:p w14:paraId="5BBF532C" w14:textId="77777777" w:rsidR="0024558C" w:rsidRPr="0024558C" w:rsidRDefault="0024558C" w:rsidP="0024558C">
      <w:pPr>
        <w:widowControl w:val="0"/>
        <w:autoSpaceDE w:val="0"/>
        <w:autoSpaceDN w:val="0"/>
        <w:spacing w:before="201" w:after="0" w:line="240" w:lineRule="auto"/>
        <w:ind w:left="218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Pri čemu su:</w:t>
      </w:r>
    </w:p>
    <w:p w14:paraId="55E6B525" w14:textId="77777777" w:rsidR="0024558C" w:rsidRPr="0024558C" w:rsidRDefault="0024558C" w:rsidP="0024558C">
      <w:pPr>
        <w:widowControl w:val="0"/>
        <w:autoSpaceDE w:val="0"/>
        <w:autoSpaceDN w:val="0"/>
        <w:spacing w:before="3" w:after="0" w:line="240" w:lineRule="auto"/>
        <w:rPr>
          <w:rFonts w:ascii="Tinos" w:eastAsia="Tinos" w:hAnsi="Tinos" w:cs="Tinos"/>
          <w:kern w:val="0"/>
          <w:sz w:val="9"/>
          <w:szCs w:val="24"/>
          <w14:ligatures w14:val="none"/>
        </w:rPr>
      </w:pPr>
    </w:p>
    <w:p w14:paraId="0EC03771" w14:textId="77777777" w:rsidR="0024558C" w:rsidRPr="0024558C" w:rsidRDefault="0024558C" w:rsidP="0024558C">
      <w:pPr>
        <w:widowControl w:val="0"/>
        <w:autoSpaceDE w:val="0"/>
        <w:autoSpaceDN w:val="0"/>
        <w:spacing w:before="92" w:after="0" w:line="429" w:lineRule="auto"/>
        <w:ind w:left="218" w:right="5060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CP – broj bodova ostvaren za ponuđenu cijenu Yp – cijena iz promatrane ponude</w:t>
      </w:r>
    </w:p>
    <w:p w14:paraId="7F1BAC35" w14:textId="77777777" w:rsidR="0024558C" w:rsidRPr="0024558C" w:rsidRDefault="0024558C" w:rsidP="0024558C">
      <w:pPr>
        <w:widowControl w:val="0"/>
        <w:autoSpaceDE w:val="0"/>
        <w:autoSpaceDN w:val="0"/>
        <w:spacing w:before="1" w:after="0" w:line="240" w:lineRule="auto"/>
        <w:ind w:left="218"/>
        <w:rPr>
          <w:rFonts w:ascii="Tinos" w:eastAsia="Tinos" w:hAnsi="Tinos" w:cs="Tinos"/>
          <w:kern w:val="0"/>
          <w14:ligatures w14:val="none"/>
        </w:rPr>
      </w:pPr>
      <w:r w:rsidRPr="0024558C">
        <w:rPr>
          <w:rFonts w:ascii="Tinos" w:eastAsia="Tinos" w:hAnsi="Tinos" w:cs="Tinos"/>
          <w:kern w:val="0"/>
          <w14:ligatures w14:val="none"/>
        </w:rPr>
        <w:t>Ymin – najniža ponuđena cijena ponude</w:t>
      </w:r>
    </w:p>
    <w:p w14:paraId="63AA7C5D" w14:textId="77777777" w:rsidR="0024558C" w:rsidRPr="0024558C" w:rsidRDefault="0024558C" w:rsidP="0024558C">
      <w:pPr>
        <w:widowControl w:val="0"/>
        <w:autoSpaceDE w:val="0"/>
        <w:autoSpaceDN w:val="0"/>
        <w:spacing w:before="1" w:after="0" w:line="240" w:lineRule="auto"/>
        <w:ind w:left="218"/>
        <w:rPr>
          <w:rFonts w:ascii="Tinos" w:eastAsia="Tinos" w:hAnsi="Tinos" w:cs="Tinos"/>
          <w:kern w:val="0"/>
          <w14:ligatures w14:val="none"/>
        </w:rPr>
      </w:pPr>
    </w:p>
    <w:p w14:paraId="616F89C4" w14:textId="1E71F998" w:rsidR="0024558C" w:rsidRPr="007B71AF" w:rsidRDefault="0024558C" w:rsidP="0024558C">
      <w:pPr>
        <w:widowControl w:val="0"/>
        <w:autoSpaceDE w:val="0"/>
        <w:autoSpaceDN w:val="0"/>
        <w:spacing w:after="0" w:line="240" w:lineRule="auto"/>
        <w:rPr>
          <w:rFonts w:ascii="Tinos" w:eastAsia="Tinos" w:hAnsi="Tinos" w:cs="Tinos"/>
          <w:color w:val="000000" w:themeColor="text1"/>
          <w:kern w:val="0"/>
          <w14:ligatures w14:val="none"/>
        </w:rPr>
        <w:sectPr w:rsidR="0024558C" w:rsidRPr="007B71AF" w:rsidSect="0024558C">
          <w:pgSz w:w="11910" w:h="16840"/>
          <w:pgMar w:top="1320" w:right="1300" w:bottom="1200" w:left="1200" w:header="751" w:footer="1011" w:gutter="0"/>
          <w:cols w:space="720"/>
        </w:sectPr>
      </w:pPr>
      <w:r w:rsidRPr="007B71AF">
        <w:rPr>
          <w:rFonts w:ascii="Tinos" w:eastAsia="Tinos" w:hAnsi="Tinos" w:cs="Tinos"/>
          <w:color w:val="000000" w:themeColor="text1"/>
          <w:kern w:val="0"/>
          <w14:ligatures w14:val="none"/>
        </w:rPr>
        <w:t>S obzirom na to da ne može koristiti pravo na pretporez, Naručitelj će uspoređivati cijene ponuda s PDV-om.</w:t>
      </w:r>
    </w:p>
    <w:p w14:paraId="5A8C7A3C" w14:textId="6D10DBDD" w:rsidR="0024558C" w:rsidRPr="0024558C" w:rsidRDefault="0024558C" w:rsidP="0024558C">
      <w:pPr>
        <w:pStyle w:val="NoSpacing"/>
        <w:rPr>
          <w:sz w:val="2"/>
          <w:szCs w:val="2"/>
        </w:rPr>
      </w:pPr>
    </w:p>
    <w:p w14:paraId="5A3A2776" w14:textId="093F1122" w:rsidR="0024558C" w:rsidRPr="0024558C" w:rsidRDefault="00CF2918" w:rsidP="0024558C">
      <w:pPr>
        <w:widowControl w:val="0"/>
        <w:numPr>
          <w:ilvl w:val="0"/>
          <w:numId w:val="2"/>
        </w:numPr>
        <w:tabs>
          <w:tab w:val="left" w:pos="939"/>
        </w:tabs>
        <w:autoSpaceDE w:val="0"/>
        <w:autoSpaceDN w:val="0"/>
        <w:spacing w:before="206" w:after="0" w:line="240" w:lineRule="auto"/>
        <w:ind w:hanging="361"/>
        <w:rPr>
          <w:rFonts w:ascii="Times New Roman" w:eastAsia="Tinos" w:hAnsi="Times New Roman" w:cs="Tinos"/>
          <w:b/>
          <w:kern w:val="0"/>
          <w14:ligatures w14:val="none"/>
        </w:rPr>
      </w:pPr>
      <w:r w:rsidRPr="00CF2918">
        <w:rPr>
          <w:rFonts w:ascii="Times New Roman" w:eastAsia="Tinos" w:hAnsi="Times New Roman" w:cs="Tinos"/>
          <w:b/>
          <w:kern w:val="0"/>
          <w14:ligatures w14:val="none"/>
        </w:rPr>
        <w:t>Trajanje jamstvenog roka</w:t>
      </w:r>
      <w:r w:rsidR="0024558C" w:rsidRPr="0024558C">
        <w:rPr>
          <w:rFonts w:ascii="Times New Roman" w:eastAsia="Tinos" w:hAnsi="Times New Roman" w:cs="Tinos"/>
          <w:b/>
          <w:kern w:val="0"/>
          <w14:ligatures w14:val="none"/>
        </w:rPr>
        <w:t xml:space="preserve"> (maksimum 10</w:t>
      </w:r>
      <w:r w:rsidR="0024558C" w:rsidRPr="0024558C">
        <w:rPr>
          <w:rFonts w:ascii="Times New Roman" w:eastAsia="Tinos" w:hAnsi="Times New Roman" w:cs="Tinos"/>
          <w:b/>
          <w:spacing w:val="-3"/>
          <w:kern w:val="0"/>
          <w14:ligatures w14:val="none"/>
        </w:rPr>
        <w:t xml:space="preserve"> </w:t>
      </w:r>
      <w:r w:rsidR="0024558C" w:rsidRPr="0024558C">
        <w:rPr>
          <w:rFonts w:ascii="Times New Roman" w:eastAsia="Tinos" w:hAnsi="Times New Roman" w:cs="Tinos"/>
          <w:b/>
          <w:kern w:val="0"/>
          <w14:ligatures w14:val="none"/>
        </w:rPr>
        <w:t>bodova)</w:t>
      </w:r>
    </w:p>
    <w:p w14:paraId="4C8DA582" w14:textId="77777777" w:rsid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</w:p>
    <w:p w14:paraId="7A7B549A" w14:textId="48B46B85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Naručitelj kao drugi kriterij određuje trajanje jamstvenog roka.</w:t>
      </w:r>
    </w:p>
    <w:p w14:paraId="68698D35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 xml:space="preserve">Minimalan jamstveni rok za kvalitetu isporučene i ugrađene opreme te izvedenih radova je 24 mjeseci, a maksimalni rok koji se uzima u obzir je 60 mjeseci. Ukoliko se nudi jamstveni rok duži od 60 mjeseci, smatrat će se da je ponuđen maksimalni rok koji se uzima u obzir. </w:t>
      </w:r>
    </w:p>
    <w:p w14:paraId="345B0E6F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Maksimalni broj bodova koji ponuda može dobiti u okviru ovog kriterija je 10,00 bodova.</w:t>
      </w:r>
    </w:p>
    <w:p w14:paraId="24458C8C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Ponuda u kojoj je ponuđen najdulji jamstveni rok za kvalitetu izvedenih radova i ugrađene opreme dobiva maksimalni broj bodova.</w:t>
      </w:r>
    </w:p>
    <w:p w14:paraId="1B2D90A2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</w:p>
    <w:p w14:paraId="3E124C0D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Bodovna vrijednost ponuda određivat će se korištenjem slijedeće formule (bodovi će se zaokruživati na dvije decimale):</w:t>
      </w:r>
    </w:p>
    <w:p w14:paraId="5EFC6736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JR = JRp / Jrmaks  x 10,00</w:t>
      </w:r>
    </w:p>
    <w:p w14:paraId="14107051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JR – broj bodova koje je ponuda dobila za jamstveni rok za kvalitetu isporučene i ugrađene opreme te izvedenih radova povezanih s ugradnjom opreme (zaokružen na dvije decimale)</w:t>
      </w:r>
    </w:p>
    <w:p w14:paraId="55B183E7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Jrmaks – najdulji jamstveni rok za kvalitetu isporučene i ugrađene opreme te izvedenih radova povezanih s ugradnjom opreme ponuđen u postupku javne nabave izražen u mjesecima</w:t>
      </w:r>
    </w:p>
    <w:p w14:paraId="161E22C4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JRp – jamstveni rok za kvalitetu isporučene i ugrađene opreme te izvedenih radova povezanih s ugradnjom opreme ponuđen u ponudi koja je predmet ocjene izražen u mjesecima</w:t>
      </w:r>
    </w:p>
    <w:p w14:paraId="1D28779F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10,00 – maksimalni broj bodova</w:t>
      </w:r>
    </w:p>
    <w:p w14:paraId="3481CE01" w14:textId="77777777" w:rsidR="00184B26" w:rsidRPr="00184B26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</w:p>
    <w:p w14:paraId="12EDD330" w14:textId="35C69031" w:rsidR="00B10CF0" w:rsidRDefault="00184B26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  <w:r w:rsidRPr="00184B26">
        <w:rPr>
          <w:rFonts w:ascii="Tinos" w:eastAsia="Tinos" w:hAnsi="Tinos" w:cs="Tinos"/>
          <w:kern w:val="0"/>
          <w:sz w:val="24"/>
          <w:szCs w:val="24"/>
          <w14:ligatures w14:val="none"/>
        </w:rPr>
        <w:t>Jamstveni rok ima značenje jamstvenog roka za kvalitetu isporučene i ugrađene opreme te izvedenih radova povezanih s ugradnjom opreme. Taj jamstveni rok označava vremensko razdoblje u kojem izvođač garantira za kvalitetu isporučene i ugrađene opreme te izvedenih radova povezanih s ugradnjom opreme</w:t>
      </w:r>
      <w:r w:rsidR="00795F14">
        <w:rPr>
          <w:rFonts w:ascii="Tinos" w:eastAsia="Tinos" w:hAnsi="Tinos" w:cs="Tinos"/>
          <w:kern w:val="0"/>
          <w:sz w:val="24"/>
          <w:szCs w:val="24"/>
          <w14:ligatures w14:val="none"/>
        </w:rPr>
        <w:t xml:space="preserve">, </w:t>
      </w:r>
      <w:r w:rsidR="00CB3240">
        <w:rPr>
          <w:rFonts w:ascii="Tinos" w:eastAsia="Tinos" w:hAnsi="Tinos" w:cs="Tinos"/>
          <w:kern w:val="0"/>
          <w:sz w:val="24"/>
          <w:szCs w:val="24"/>
          <w14:ligatures w14:val="none"/>
        </w:rPr>
        <w:t xml:space="preserve">a računa se </w:t>
      </w:r>
      <w:r w:rsidR="00CB3240" w:rsidRPr="00CB3240">
        <w:rPr>
          <w:rFonts w:ascii="Tinos" w:eastAsia="Tinos" w:hAnsi="Tinos" w:cs="Tinos"/>
          <w:kern w:val="0"/>
          <w:sz w:val="24"/>
          <w:szCs w:val="24"/>
          <w14:ligatures w14:val="none"/>
        </w:rPr>
        <w:t>od</w:t>
      </w:r>
      <w:r w:rsidR="00B22A5E">
        <w:rPr>
          <w:rFonts w:ascii="Tinos" w:eastAsia="Tinos" w:hAnsi="Tinos" w:cs="Tinos"/>
          <w:kern w:val="0"/>
          <w:sz w:val="24"/>
          <w:szCs w:val="24"/>
          <w14:ligatures w14:val="none"/>
        </w:rPr>
        <w:t xml:space="preserve"> dana</w:t>
      </w:r>
      <w:r w:rsidR="00CB3240" w:rsidRPr="00CB3240">
        <w:rPr>
          <w:rFonts w:ascii="Tinos" w:eastAsia="Tinos" w:hAnsi="Tinos" w:cs="Tinos"/>
          <w:kern w:val="0"/>
          <w:sz w:val="24"/>
          <w:szCs w:val="24"/>
          <w14:ligatures w14:val="none"/>
        </w:rPr>
        <w:t xml:space="preserve"> uredne primopredaje</w:t>
      </w:r>
      <w:r w:rsidR="00B22A5E">
        <w:rPr>
          <w:rFonts w:ascii="Tinos" w:eastAsia="Tinos" w:hAnsi="Tinos" w:cs="Tinos"/>
          <w:kern w:val="0"/>
          <w:sz w:val="24"/>
          <w:szCs w:val="24"/>
          <w14:ligatures w14:val="none"/>
        </w:rPr>
        <w:t>.</w:t>
      </w:r>
    </w:p>
    <w:p w14:paraId="64159C49" w14:textId="77777777" w:rsidR="00BB3E64" w:rsidRDefault="00BB3E64" w:rsidP="00184B26">
      <w:pPr>
        <w:pStyle w:val="NoSpacing"/>
        <w:rPr>
          <w:rFonts w:ascii="Tinos" w:eastAsia="Tinos" w:hAnsi="Tinos" w:cs="Tinos"/>
          <w:kern w:val="0"/>
          <w:sz w:val="24"/>
          <w:szCs w:val="24"/>
          <w14:ligatures w14:val="none"/>
        </w:rPr>
      </w:pPr>
    </w:p>
    <w:p w14:paraId="366C0DE5" w14:textId="77777777" w:rsidR="00BB3E64" w:rsidRPr="00BB3E64" w:rsidRDefault="00BB3E64" w:rsidP="00BB3E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3E64">
        <w:rPr>
          <w:rFonts w:ascii="Times New Roman" w:hAnsi="Times New Roman" w:cs="Times New Roman"/>
          <w:sz w:val="24"/>
          <w:szCs w:val="24"/>
        </w:rPr>
        <w:t xml:space="preserve">Trajanje jamstvenog roka za kvalitetu isporučene i ugrađene opreme te izvedenih radova povezanih s ugradnjom opreme (u mjesecima) iskazuje se isključivo cijelim brojem, ponuditelj ga upisuje u posebnoj Izjavi (Prilog 1). </w:t>
      </w:r>
    </w:p>
    <w:p w14:paraId="6996454E" w14:textId="6A5DD6FE" w:rsidR="00BB3E64" w:rsidRPr="00BB3E64" w:rsidRDefault="00BB3E64" w:rsidP="00BB3E6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B3E64">
        <w:rPr>
          <w:rFonts w:ascii="Times New Roman" w:hAnsi="Times New Roman" w:cs="Times New Roman"/>
          <w:sz w:val="24"/>
          <w:szCs w:val="24"/>
        </w:rPr>
        <w:t>Ukoliko Izjava nije dostavljena u roku za dostavu ponuda ili ne sadrži navod o trajanju jamstvenog roka smatrat će se da ponuditelj nudi minimalni jamstveni rok.</w:t>
      </w:r>
    </w:p>
    <w:sectPr w:rsidR="00BB3E64" w:rsidRPr="00BB3E64" w:rsidSect="005A717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nos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03A7"/>
    <w:multiLevelType w:val="hybridMultilevel"/>
    <w:tmpl w:val="278439F6"/>
    <w:lvl w:ilvl="0" w:tplc="87AC5D84">
      <w:numFmt w:val="bullet"/>
      <w:lvlText w:val="-"/>
      <w:lvlJc w:val="left"/>
      <w:pPr>
        <w:ind w:left="525" w:hanging="360"/>
      </w:pPr>
      <w:rPr>
        <w:rFonts w:ascii="Times New Roman" w:eastAsia="Calibri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 w15:restartNumberingAfterBreak="0">
    <w:nsid w:val="3C875500"/>
    <w:multiLevelType w:val="hybridMultilevel"/>
    <w:tmpl w:val="6376178E"/>
    <w:lvl w:ilvl="0" w:tplc="26EC7026">
      <w:start w:val="1"/>
      <w:numFmt w:val="decimal"/>
      <w:lvlText w:val="%1."/>
      <w:lvlJc w:val="left"/>
      <w:pPr>
        <w:ind w:left="93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hr-HR" w:eastAsia="en-US" w:bidi="ar-SA"/>
      </w:rPr>
    </w:lvl>
    <w:lvl w:ilvl="1" w:tplc="FB88411E">
      <w:numFmt w:val="bullet"/>
      <w:lvlText w:val="•"/>
      <w:lvlJc w:val="left"/>
      <w:pPr>
        <w:ind w:left="1786" w:hanging="360"/>
      </w:pPr>
      <w:rPr>
        <w:rFonts w:hint="default"/>
        <w:lang w:val="hr-HR" w:eastAsia="en-US" w:bidi="ar-SA"/>
      </w:rPr>
    </w:lvl>
    <w:lvl w:ilvl="2" w:tplc="923CA91C">
      <w:numFmt w:val="bullet"/>
      <w:lvlText w:val="•"/>
      <w:lvlJc w:val="left"/>
      <w:pPr>
        <w:ind w:left="2633" w:hanging="360"/>
      </w:pPr>
      <w:rPr>
        <w:rFonts w:hint="default"/>
        <w:lang w:val="hr-HR" w:eastAsia="en-US" w:bidi="ar-SA"/>
      </w:rPr>
    </w:lvl>
    <w:lvl w:ilvl="3" w:tplc="4586B7C2">
      <w:numFmt w:val="bullet"/>
      <w:lvlText w:val="•"/>
      <w:lvlJc w:val="left"/>
      <w:pPr>
        <w:ind w:left="3479" w:hanging="360"/>
      </w:pPr>
      <w:rPr>
        <w:rFonts w:hint="default"/>
        <w:lang w:val="hr-HR" w:eastAsia="en-US" w:bidi="ar-SA"/>
      </w:rPr>
    </w:lvl>
    <w:lvl w:ilvl="4" w:tplc="254E62AE">
      <w:numFmt w:val="bullet"/>
      <w:lvlText w:val="•"/>
      <w:lvlJc w:val="left"/>
      <w:pPr>
        <w:ind w:left="4326" w:hanging="360"/>
      </w:pPr>
      <w:rPr>
        <w:rFonts w:hint="default"/>
        <w:lang w:val="hr-HR" w:eastAsia="en-US" w:bidi="ar-SA"/>
      </w:rPr>
    </w:lvl>
    <w:lvl w:ilvl="5" w:tplc="272AF964">
      <w:numFmt w:val="bullet"/>
      <w:lvlText w:val="•"/>
      <w:lvlJc w:val="left"/>
      <w:pPr>
        <w:ind w:left="5173" w:hanging="360"/>
      </w:pPr>
      <w:rPr>
        <w:rFonts w:hint="default"/>
        <w:lang w:val="hr-HR" w:eastAsia="en-US" w:bidi="ar-SA"/>
      </w:rPr>
    </w:lvl>
    <w:lvl w:ilvl="6" w:tplc="0FD0EDA8">
      <w:numFmt w:val="bullet"/>
      <w:lvlText w:val="•"/>
      <w:lvlJc w:val="left"/>
      <w:pPr>
        <w:ind w:left="6019" w:hanging="360"/>
      </w:pPr>
      <w:rPr>
        <w:rFonts w:hint="default"/>
        <w:lang w:val="hr-HR" w:eastAsia="en-US" w:bidi="ar-SA"/>
      </w:rPr>
    </w:lvl>
    <w:lvl w:ilvl="7" w:tplc="F14EE7E2">
      <w:numFmt w:val="bullet"/>
      <w:lvlText w:val="•"/>
      <w:lvlJc w:val="left"/>
      <w:pPr>
        <w:ind w:left="6866" w:hanging="360"/>
      </w:pPr>
      <w:rPr>
        <w:rFonts w:hint="default"/>
        <w:lang w:val="hr-HR" w:eastAsia="en-US" w:bidi="ar-SA"/>
      </w:rPr>
    </w:lvl>
    <w:lvl w:ilvl="8" w:tplc="56BE47EE">
      <w:numFmt w:val="bullet"/>
      <w:lvlText w:val="•"/>
      <w:lvlJc w:val="left"/>
      <w:pPr>
        <w:ind w:left="7713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7BBB0F98"/>
    <w:multiLevelType w:val="multilevel"/>
    <w:tmpl w:val="BDDC15F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9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2" w:hanging="1800"/>
      </w:pPr>
      <w:rPr>
        <w:rFonts w:hint="default"/>
      </w:rPr>
    </w:lvl>
  </w:abstractNum>
  <w:num w:numId="1" w16cid:durableId="1251507048">
    <w:abstractNumId w:val="0"/>
  </w:num>
  <w:num w:numId="2" w16cid:durableId="803935567">
    <w:abstractNumId w:val="1"/>
  </w:num>
  <w:num w:numId="3" w16cid:durableId="944268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6E2"/>
    <w:rsid w:val="0002381F"/>
    <w:rsid w:val="00052DE5"/>
    <w:rsid w:val="0005421F"/>
    <w:rsid w:val="000631EB"/>
    <w:rsid w:val="000D3B5F"/>
    <w:rsid w:val="000D7A0F"/>
    <w:rsid w:val="000F3350"/>
    <w:rsid w:val="001146E6"/>
    <w:rsid w:val="001474DA"/>
    <w:rsid w:val="00152D42"/>
    <w:rsid w:val="001673B0"/>
    <w:rsid w:val="001719B0"/>
    <w:rsid w:val="00184B26"/>
    <w:rsid w:val="00193FA8"/>
    <w:rsid w:val="00196F04"/>
    <w:rsid w:val="001A3B96"/>
    <w:rsid w:val="001E16BD"/>
    <w:rsid w:val="001E216A"/>
    <w:rsid w:val="00232C1C"/>
    <w:rsid w:val="00241195"/>
    <w:rsid w:val="00242B8A"/>
    <w:rsid w:val="0024558C"/>
    <w:rsid w:val="0029100C"/>
    <w:rsid w:val="002964D6"/>
    <w:rsid w:val="002C14E7"/>
    <w:rsid w:val="002D46BD"/>
    <w:rsid w:val="002D4F0F"/>
    <w:rsid w:val="003060F6"/>
    <w:rsid w:val="00313FEE"/>
    <w:rsid w:val="0032175F"/>
    <w:rsid w:val="00321D14"/>
    <w:rsid w:val="003A5EEC"/>
    <w:rsid w:val="003C480C"/>
    <w:rsid w:val="003E31D2"/>
    <w:rsid w:val="004101C6"/>
    <w:rsid w:val="00434057"/>
    <w:rsid w:val="004629C3"/>
    <w:rsid w:val="004824D6"/>
    <w:rsid w:val="00493E40"/>
    <w:rsid w:val="004A7BA8"/>
    <w:rsid w:val="004C5AED"/>
    <w:rsid w:val="004C7B80"/>
    <w:rsid w:val="004D3561"/>
    <w:rsid w:val="00503BE0"/>
    <w:rsid w:val="00530677"/>
    <w:rsid w:val="005343BB"/>
    <w:rsid w:val="00537369"/>
    <w:rsid w:val="005454A7"/>
    <w:rsid w:val="005520BB"/>
    <w:rsid w:val="00564747"/>
    <w:rsid w:val="0057264C"/>
    <w:rsid w:val="00574686"/>
    <w:rsid w:val="00582C7F"/>
    <w:rsid w:val="00590AEA"/>
    <w:rsid w:val="005A717D"/>
    <w:rsid w:val="005C6FC5"/>
    <w:rsid w:val="005C740C"/>
    <w:rsid w:val="005C7E84"/>
    <w:rsid w:val="005D22F7"/>
    <w:rsid w:val="005D483A"/>
    <w:rsid w:val="00604D1E"/>
    <w:rsid w:val="006660A9"/>
    <w:rsid w:val="0069039B"/>
    <w:rsid w:val="00691D84"/>
    <w:rsid w:val="006B5EEA"/>
    <w:rsid w:val="006C304E"/>
    <w:rsid w:val="006C4216"/>
    <w:rsid w:val="006D37C2"/>
    <w:rsid w:val="006E2C00"/>
    <w:rsid w:val="007055A4"/>
    <w:rsid w:val="00716625"/>
    <w:rsid w:val="00726F55"/>
    <w:rsid w:val="00756BB9"/>
    <w:rsid w:val="00765544"/>
    <w:rsid w:val="00795F14"/>
    <w:rsid w:val="007B71AF"/>
    <w:rsid w:val="007D3BC2"/>
    <w:rsid w:val="007D61F7"/>
    <w:rsid w:val="00836F30"/>
    <w:rsid w:val="00880967"/>
    <w:rsid w:val="008B006B"/>
    <w:rsid w:val="008B29D3"/>
    <w:rsid w:val="008B3E9D"/>
    <w:rsid w:val="008B6C9A"/>
    <w:rsid w:val="008D20E1"/>
    <w:rsid w:val="008D6DEE"/>
    <w:rsid w:val="008E3DA3"/>
    <w:rsid w:val="008F28E7"/>
    <w:rsid w:val="00906FA5"/>
    <w:rsid w:val="009C3BFB"/>
    <w:rsid w:val="009E0464"/>
    <w:rsid w:val="009F5D64"/>
    <w:rsid w:val="00A93340"/>
    <w:rsid w:val="00A93C1D"/>
    <w:rsid w:val="00AB51C3"/>
    <w:rsid w:val="00AD3283"/>
    <w:rsid w:val="00B10CF0"/>
    <w:rsid w:val="00B22A5E"/>
    <w:rsid w:val="00B27794"/>
    <w:rsid w:val="00B30703"/>
    <w:rsid w:val="00B34C47"/>
    <w:rsid w:val="00B47088"/>
    <w:rsid w:val="00B83F6E"/>
    <w:rsid w:val="00BB3E64"/>
    <w:rsid w:val="00BC22C8"/>
    <w:rsid w:val="00BE7188"/>
    <w:rsid w:val="00BE75B4"/>
    <w:rsid w:val="00BF16B8"/>
    <w:rsid w:val="00BF2F0D"/>
    <w:rsid w:val="00C005D3"/>
    <w:rsid w:val="00C35303"/>
    <w:rsid w:val="00C51155"/>
    <w:rsid w:val="00C62F5B"/>
    <w:rsid w:val="00C95256"/>
    <w:rsid w:val="00CA7B1B"/>
    <w:rsid w:val="00CB3240"/>
    <w:rsid w:val="00CE0A8A"/>
    <w:rsid w:val="00CE6373"/>
    <w:rsid w:val="00CE7BE9"/>
    <w:rsid w:val="00CF2918"/>
    <w:rsid w:val="00CF7F45"/>
    <w:rsid w:val="00D205A7"/>
    <w:rsid w:val="00D2643F"/>
    <w:rsid w:val="00D27C1D"/>
    <w:rsid w:val="00D36B04"/>
    <w:rsid w:val="00D378D3"/>
    <w:rsid w:val="00DB257D"/>
    <w:rsid w:val="00DB7F7D"/>
    <w:rsid w:val="00DE5032"/>
    <w:rsid w:val="00E207F2"/>
    <w:rsid w:val="00E2121A"/>
    <w:rsid w:val="00E251FE"/>
    <w:rsid w:val="00E271AF"/>
    <w:rsid w:val="00E33D91"/>
    <w:rsid w:val="00E45F68"/>
    <w:rsid w:val="00E636E2"/>
    <w:rsid w:val="00E961A5"/>
    <w:rsid w:val="00E97C75"/>
    <w:rsid w:val="00EB523F"/>
    <w:rsid w:val="00F4533D"/>
    <w:rsid w:val="00F53D35"/>
    <w:rsid w:val="00F64169"/>
    <w:rsid w:val="00F67CC1"/>
    <w:rsid w:val="00FA176A"/>
    <w:rsid w:val="00FC6C7E"/>
    <w:rsid w:val="00FD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900D7"/>
  <w15:chartTrackingRefBased/>
  <w15:docId w15:val="{37DED52B-567E-4846-BD83-AB8F4A2F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CF0"/>
  </w:style>
  <w:style w:type="paragraph" w:styleId="Heading1">
    <w:name w:val="heading 1"/>
    <w:basedOn w:val="Normal"/>
    <w:next w:val="Normal"/>
    <w:link w:val="Heading1Char"/>
    <w:uiPriority w:val="9"/>
    <w:qFormat/>
    <w:rsid w:val="00E636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6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6E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6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6E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6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6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6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6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6E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6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6E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6E2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6E2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6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6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6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6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36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36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6E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36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36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36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36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36E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6E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6E2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36E2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E636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Pejić</dc:creator>
  <cp:keywords/>
  <dc:description/>
  <cp:lastModifiedBy>Hrvoje Pejić</cp:lastModifiedBy>
  <cp:revision>2</cp:revision>
  <cp:lastPrinted>2024-06-20T12:30:00Z</cp:lastPrinted>
  <dcterms:created xsi:type="dcterms:W3CDTF">2025-12-30T11:33:00Z</dcterms:created>
  <dcterms:modified xsi:type="dcterms:W3CDTF">2025-12-30T11:33:00Z</dcterms:modified>
</cp:coreProperties>
</file>